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67" w:rsidRPr="007F7B8B" w:rsidRDefault="001F0C1C">
      <w:pPr>
        <w:spacing w:line="360" w:lineRule="auto"/>
        <w:jc w:val="center"/>
        <w:rPr>
          <w:rFonts w:ascii="微软雅黑" w:eastAsia="微软雅黑" w:hAnsi="微软雅黑" w:cs="黑体"/>
          <w:b/>
          <w:bCs/>
          <w:sz w:val="32"/>
          <w:szCs w:val="40"/>
        </w:rPr>
      </w:pPr>
      <w:r w:rsidRPr="007F7B8B">
        <w:rPr>
          <w:rFonts w:ascii="微软雅黑" w:eastAsia="微软雅黑" w:hAnsi="微软雅黑" w:cs="黑体" w:hint="eastAsia"/>
          <w:b/>
          <w:bCs/>
          <w:sz w:val="32"/>
          <w:szCs w:val="40"/>
        </w:rPr>
        <w:t>从“粤派”走向“国派”</w:t>
      </w:r>
    </w:p>
    <w:p w:rsidR="006B1C67" w:rsidRPr="007F7B8B" w:rsidRDefault="007F7B8B">
      <w:pPr>
        <w:spacing w:line="360" w:lineRule="auto"/>
        <w:jc w:val="center"/>
        <w:rPr>
          <w:rFonts w:ascii="微软雅黑" w:eastAsia="微软雅黑" w:hAnsi="微软雅黑" w:cs="黑体"/>
          <w:sz w:val="24"/>
        </w:rPr>
      </w:pPr>
      <w:r w:rsidRPr="007F7B8B">
        <w:rPr>
          <w:rFonts w:ascii="微软雅黑" w:eastAsia="微软雅黑" w:hAnsi="微软雅黑" w:hint="eastAsia"/>
        </w:rPr>
        <w:t>——2016年广州高考一模（文综历史卷）命题点评</w:t>
      </w:r>
    </w:p>
    <w:p w:rsidR="006B1C67" w:rsidRPr="007F7B8B" w:rsidRDefault="007F7B8B" w:rsidP="007F7B8B">
      <w:pPr>
        <w:ind w:firstLine="570"/>
        <w:jc w:val="center"/>
        <w:rPr>
          <w:rFonts w:ascii="微软雅黑" w:eastAsia="微软雅黑" w:hAnsi="微软雅黑"/>
          <w:szCs w:val="21"/>
        </w:rPr>
      </w:pPr>
      <w:r w:rsidRPr="007F7B8B">
        <w:rPr>
          <w:rFonts w:ascii="微软雅黑" w:eastAsia="微软雅黑" w:hAnsi="微软雅黑"/>
          <w:noProof/>
          <w:szCs w:val="21"/>
        </w:rPr>
        <mc:AlternateContent>
          <mc:Choice Requires="wps">
            <w:drawing>
              <wp:anchor distT="0" distB="0" distL="114300" distR="114300" simplePos="0" relativeHeight="251659264" behindDoc="0" locked="0" layoutInCell="1" allowOverlap="1" wp14:anchorId="039DBCFC" wp14:editId="5567C173">
                <wp:simplePos x="0" y="0"/>
                <wp:positionH relativeFrom="margin">
                  <wp:posOffset>9525</wp:posOffset>
                </wp:positionH>
                <wp:positionV relativeFrom="paragraph">
                  <wp:posOffset>36195</wp:posOffset>
                </wp:positionV>
                <wp:extent cx="5314950" cy="333375"/>
                <wp:effectExtent l="0" t="0" r="19050" b="28575"/>
                <wp:wrapNone/>
                <wp:docPr id="1" name="矩形 1"/>
                <wp:cNvGraphicFramePr/>
                <a:graphic xmlns:a="http://schemas.openxmlformats.org/drawingml/2006/main">
                  <a:graphicData uri="http://schemas.microsoft.com/office/word/2010/wordprocessingShape">
                    <wps:wsp>
                      <wps:cNvSpPr/>
                      <wps:spPr>
                        <a:xfrm>
                          <a:off x="0" y="0"/>
                          <a:ext cx="5314950"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A8BF" id="矩形 1" o:spid="_x0000_s1026" style="position:absolute;left:0;text-align:left;margin-left:.75pt;margin-top:2.85pt;width:418.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" filled="f" strokecolor="#1f4d78 [1604]" strokeweight="1pt">
                <w10:wrap anchorx="margin"/>
              </v:rect>
            </w:pict>
          </mc:Fallback>
        </mc:AlternateContent>
      </w:r>
      <w:r w:rsidRPr="007F7B8B">
        <w:rPr>
          <w:rFonts w:ascii="微软雅黑" w:eastAsia="微软雅黑" w:hAnsi="微软雅黑" w:hint="eastAsia"/>
          <w:color w:val="0070C0"/>
          <w:szCs w:val="21"/>
        </w:rPr>
        <w:t>回复</w:t>
      </w:r>
      <w:r w:rsidRPr="007F7B8B">
        <w:rPr>
          <w:rFonts w:ascii="微软雅黑" w:eastAsia="微软雅黑" w:hAnsi="微软雅黑"/>
          <w:color w:val="0070C0"/>
          <w:szCs w:val="21"/>
        </w:rPr>
        <w:t>关键字</w:t>
      </w:r>
      <w:r w:rsidRPr="007F7B8B">
        <w:rPr>
          <w:rFonts w:ascii="微软雅黑" w:eastAsia="微软雅黑" w:hAnsi="微软雅黑"/>
          <w:b/>
          <w:color w:val="0070C0"/>
          <w:szCs w:val="21"/>
        </w:rPr>
        <w:t>“高考一模”</w:t>
      </w:r>
      <w:r w:rsidRPr="007F7B8B">
        <w:rPr>
          <w:rFonts w:ascii="微软雅黑" w:eastAsia="微软雅黑" w:hAnsi="微软雅黑"/>
          <w:color w:val="0070C0"/>
          <w:szCs w:val="21"/>
        </w:rPr>
        <w:t>即可查询</w:t>
      </w:r>
      <w:r w:rsidRPr="007F7B8B">
        <w:rPr>
          <w:rFonts w:ascii="微软雅黑" w:eastAsia="微软雅黑" w:hAnsi="微软雅黑" w:hint="eastAsia"/>
          <w:color w:val="0070C0"/>
          <w:szCs w:val="21"/>
        </w:rPr>
        <w:t>独家</w:t>
      </w:r>
      <w:r w:rsidRPr="007F7B8B">
        <w:rPr>
          <w:rFonts w:ascii="微软雅黑" w:eastAsia="微软雅黑" w:hAnsi="微软雅黑"/>
          <w:color w:val="0070C0"/>
          <w:szCs w:val="21"/>
        </w:rPr>
        <w:t>点评、试卷、答案。</w:t>
      </w:r>
    </w:p>
    <w:p w:rsidR="006B1C67" w:rsidRPr="007F7B8B" w:rsidRDefault="007F7B8B">
      <w:pPr>
        <w:spacing w:line="440" w:lineRule="exact"/>
        <w:ind w:firstLineChars="200" w:firstLine="420"/>
        <w:rPr>
          <w:rFonts w:ascii="微软雅黑" w:eastAsia="微软雅黑" w:hAnsi="微软雅黑"/>
          <w:szCs w:val="21"/>
        </w:rPr>
      </w:pPr>
      <w:r w:rsidRPr="007F7B8B">
        <w:rPr>
          <w:rFonts w:ascii="微软雅黑" w:eastAsia="微软雅黑" w:hAnsi="微软雅黑"/>
          <w:noProof/>
          <w:szCs w:val="21"/>
        </w:rPr>
        <mc:AlternateContent>
          <mc:Choice Requires="wps">
            <w:drawing>
              <wp:anchor distT="0" distB="0" distL="114300" distR="114300" simplePos="0" relativeHeight="251661312" behindDoc="0" locked="0" layoutInCell="1" allowOverlap="1" wp14:anchorId="52D43097" wp14:editId="3158EE84">
                <wp:simplePos x="0" y="0"/>
                <wp:positionH relativeFrom="margin">
                  <wp:align>left</wp:align>
                </wp:positionH>
                <wp:positionV relativeFrom="paragraph">
                  <wp:posOffset>11430</wp:posOffset>
                </wp:positionV>
                <wp:extent cx="5314950" cy="1143000"/>
                <wp:effectExtent l="0" t="0" r="19050" b="19050"/>
                <wp:wrapNone/>
                <wp:docPr id="2" name="矩形 2"/>
                <wp:cNvGraphicFramePr/>
                <a:graphic xmlns:a="http://schemas.openxmlformats.org/drawingml/2006/main">
                  <a:graphicData uri="http://schemas.microsoft.com/office/word/2010/wordprocessingShape">
                    <wps:wsp>
                      <wps:cNvSpPr/>
                      <wps:spPr>
                        <a:xfrm>
                          <a:off x="0" y="0"/>
                          <a:ext cx="531495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E44F" id="矩形 2" o:spid="_x0000_s1026" style="position:absolute;left:0;text-align:left;margin-left:0;margin-top:.9pt;width:418.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" filled="f" strokecolor="#1f4d78 [1604]" strokeweight="1pt">
                <w10:wrap anchorx="margin"/>
              </v:rect>
            </w:pict>
          </mc:Fallback>
        </mc:AlternateContent>
      </w:r>
      <w:r w:rsidR="001F0C1C" w:rsidRPr="007F7B8B">
        <w:rPr>
          <w:rFonts w:ascii="微软雅黑" w:eastAsia="微软雅黑" w:hAnsi="微软雅黑" w:cs="Times New Roman"/>
          <w:szCs w:val="21"/>
        </w:rPr>
        <w:t>Duang</w:t>
      </w:r>
      <w:r w:rsidR="001F0C1C" w:rsidRPr="007F7B8B">
        <w:rPr>
          <w:rFonts w:ascii="微软雅黑" w:eastAsia="微软雅黑" w:hAnsi="微软雅黑" w:hint="eastAsia"/>
          <w:szCs w:val="21"/>
        </w:rPr>
        <w:t>的一下，3月初举行的广东省普通高考适应性考试甩给我们一个高傲冷酷的背影就离我们而去，留下的只有</w:t>
      </w:r>
      <w:r w:rsidR="005732B7" w:rsidRPr="007F7B8B">
        <w:rPr>
          <w:rFonts w:ascii="微软雅黑" w:eastAsia="微软雅黑" w:hAnsi="微软雅黑" w:hint="eastAsia"/>
          <w:szCs w:val="21"/>
        </w:rPr>
        <w:t>淡淡</w:t>
      </w:r>
      <w:r w:rsidR="001F0C1C" w:rsidRPr="007F7B8B">
        <w:rPr>
          <w:rFonts w:ascii="微软雅黑" w:eastAsia="微软雅黑" w:hAnsi="微软雅黑" w:hint="eastAsia"/>
          <w:szCs w:val="21"/>
        </w:rPr>
        <w:t>的忧桑。2016年是广东从自主命题回归到全国卷的第一年，高考改革迷雾重重。2016年广州高考一模带给我们什</w:t>
      </w:r>
      <w:r w:rsidRPr="007F7B8B">
        <w:rPr>
          <w:rFonts w:ascii="微软雅黑" w:eastAsia="微软雅黑" w:hAnsi="微软雅黑" w:hint="eastAsia"/>
          <w:szCs w:val="21"/>
        </w:rPr>
        <w:t>么启示呢？且看卓越教育考试研究院·高考团队带给大家的专业分析吧！</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t>全卷贴近社会发展和现实生活，充分关注人类社会历史发展中的重大问题，适度关注时代主题、社会热点与学术热点；运用新材料，创设新情境，突出学科能力立意，强调学科素养和学习潜力的考查。</w:t>
      </w:r>
    </w:p>
    <w:p w:rsidR="006B1C67" w:rsidRPr="007F7B8B" w:rsidRDefault="001F0C1C" w:rsidP="007F7B8B">
      <w:pPr>
        <w:spacing w:line="360" w:lineRule="auto"/>
        <w:ind w:firstLineChars="200" w:firstLine="420"/>
        <w:jc w:val="center"/>
        <w:rPr>
          <w:rFonts w:ascii="微软雅黑" w:eastAsia="微软雅黑" w:hAnsi="微软雅黑" w:cs="黑体"/>
          <w:szCs w:val="21"/>
        </w:rPr>
      </w:pPr>
      <w:r w:rsidRPr="007F7B8B">
        <w:rPr>
          <w:rFonts w:ascii="微软雅黑" w:eastAsia="微软雅黑" w:hAnsi="微软雅黑" w:cs="黑体" w:hint="eastAsia"/>
          <w:szCs w:val="21"/>
        </w:rPr>
        <w:t>表1：2016年广州高考一模文科综合（历史）考点分布</w:t>
      </w:r>
    </w:p>
    <w:tbl>
      <w:tblPr>
        <w:tblStyle w:val="a4"/>
        <w:tblW w:w="7000" w:type="dxa"/>
        <w:jc w:val="center"/>
        <w:tblBorders>
          <w:left w:val="none" w:sz="0" w:space="0" w:color="auto"/>
          <w:right w:val="none" w:sz="0" w:space="0" w:color="auto"/>
        </w:tblBorders>
        <w:tblLayout w:type="fixed"/>
        <w:tblLook w:val="04A0" w:firstRow="1" w:lastRow="0" w:firstColumn="1" w:lastColumn="0" w:noHBand="0" w:noVBand="1"/>
      </w:tblPr>
      <w:tblGrid>
        <w:gridCol w:w="860"/>
        <w:gridCol w:w="1313"/>
        <w:gridCol w:w="877"/>
        <w:gridCol w:w="3950"/>
      </w:tblGrid>
      <w:tr w:rsidR="006B1C67" w:rsidRPr="007F7B8B">
        <w:trPr>
          <w:trHeight w:val="393"/>
          <w:jc w:val="center"/>
        </w:trPr>
        <w:tc>
          <w:tcPr>
            <w:tcW w:w="860" w:type="dxa"/>
            <w:tcBorders>
              <w:tl2br w:val="nil"/>
              <w:tr2bl w:val="nil"/>
            </w:tcBorders>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题号</w:t>
            </w:r>
          </w:p>
        </w:tc>
        <w:tc>
          <w:tcPr>
            <w:tcW w:w="1313" w:type="dxa"/>
            <w:tcBorders>
              <w:tl2br w:val="nil"/>
              <w:tr2bl w:val="nil"/>
            </w:tcBorders>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题型</w:t>
            </w:r>
          </w:p>
        </w:tc>
        <w:tc>
          <w:tcPr>
            <w:tcW w:w="877" w:type="dxa"/>
            <w:tcBorders>
              <w:tl2br w:val="nil"/>
              <w:tr2bl w:val="nil"/>
            </w:tcBorders>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分值</w:t>
            </w:r>
          </w:p>
        </w:tc>
        <w:tc>
          <w:tcPr>
            <w:tcW w:w="3950" w:type="dxa"/>
            <w:tcBorders>
              <w:tl2br w:val="nil"/>
              <w:tr2bl w:val="nil"/>
            </w:tcBorders>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考点</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24</w:t>
            </w:r>
          </w:p>
        </w:tc>
        <w:tc>
          <w:tcPr>
            <w:tcW w:w="1313" w:type="dxa"/>
            <w:vMerge w:val="restart"/>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选择题</w:t>
            </w: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古代中国的政治制度</w:t>
            </w:r>
          </w:p>
        </w:tc>
      </w:tr>
      <w:tr w:rsidR="006B1C67" w:rsidRPr="007F7B8B">
        <w:trPr>
          <w:trHeight w:val="734"/>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25</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中国传统文化主流思想的演变、中国传统文化主流思想的演变</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26</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宋明理学；明清之际的儒学思想</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27</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商业的发展</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28</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晚清中国经济结构的变化</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29</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辛亥革命</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30</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新民主主义革命</w:t>
            </w:r>
          </w:p>
        </w:tc>
      </w:tr>
      <w:tr w:rsidR="006B1C67" w:rsidRPr="007F7B8B">
        <w:trPr>
          <w:trHeight w:val="734"/>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31</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20世纪50年代至70年代探索社会主义建设道路的实践</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32</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罗马法</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33</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“斯大林模式”</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34</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罗斯福新政</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35</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美苏两极对峙格局的形成</w:t>
            </w:r>
          </w:p>
        </w:tc>
      </w:tr>
      <w:tr w:rsidR="006B1C67" w:rsidRPr="007F7B8B">
        <w:trPr>
          <w:trHeight w:val="734"/>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40</w:t>
            </w:r>
          </w:p>
        </w:tc>
        <w:tc>
          <w:tcPr>
            <w:tcW w:w="1313" w:type="dxa"/>
            <w:vMerge w:val="restart"/>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非选择题</w:t>
            </w: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25</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古代中国的经济、近代经济结构的变化、近代中国的民主革命</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41</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12</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史料实证（历史偶然性与必然性）</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45</w:t>
            </w:r>
          </w:p>
        </w:tc>
        <w:tc>
          <w:tcPr>
            <w:tcW w:w="1313" w:type="dxa"/>
            <w:vMerge w:val="restart"/>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选修部分</w:t>
            </w:r>
          </w:p>
        </w:tc>
        <w:tc>
          <w:tcPr>
            <w:tcW w:w="877" w:type="dxa"/>
            <w:vMerge w:val="restart"/>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15</w:t>
            </w: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历史上重大改革回眸</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46</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vMerge/>
            <w:tcBorders>
              <w:tl2br w:val="nil"/>
              <w:tr2bl w:val="nil"/>
            </w:tcBorders>
          </w:tcPr>
          <w:p w:rsidR="006B1C67" w:rsidRPr="007F7B8B" w:rsidRDefault="006B1C67">
            <w:pPr>
              <w:spacing w:line="300" w:lineRule="exact"/>
              <w:jc w:val="center"/>
              <w:rPr>
                <w:rFonts w:ascii="微软雅黑" w:eastAsia="微软雅黑" w:hAnsi="微软雅黑" w:cstheme="minorEastAsia"/>
                <w:szCs w:val="21"/>
              </w:rPr>
            </w:pP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近代社会的民主思想与实践</w:t>
            </w:r>
          </w:p>
        </w:tc>
      </w:tr>
      <w:tr w:rsidR="006B1C67" w:rsidRPr="007F7B8B">
        <w:trPr>
          <w:trHeight w:val="393"/>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t>47</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vMerge/>
            <w:tcBorders>
              <w:tl2br w:val="nil"/>
              <w:tr2bl w:val="nil"/>
            </w:tcBorders>
          </w:tcPr>
          <w:p w:rsidR="006B1C67" w:rsidRPr="007F7B8B" w:rsidRDefault="006B1C67">
            <w:pPr>
              <w:spacing w:line="300" w:lineRule="exact"/>
              <w:jc w:val="center"/>
              <w:rPr>
                <w:rFonts w:ascii="微软雅黑" w:eastAsia="微软雅黑" w:hAnsi="微软雅黑" w:cstheme="minorEastAsia"/>
                <w:szCs w:val="21"/>
              </w:rPr>
            </w:pP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20世纪的战争与和平</w:t>
            </w:r>
          </w:p>
        </w:tc>
      </w:tr>
      <w:tr w:rsidR="006B1C67" w:rsidRPr="007F7B8B">
        <w:trPr>
          <w:trHeight w:val="445"/>
          <w:jc w:val="center"/>
        </w:trPr>
        <w:tc>
          <w:tcPr>
            <w:tcW w:w="860" w:type="dxa"/>
            <w:tcBorders>
              <w:tl2br w:val="nil"/>
              <w:tr2bl w:val="nil"/>
            </w:tcBorders>
            <w:vAlign w:val="center"/>
          </w:tcPr>
          <w:p w:rsidR="006B1C67" w:rsidRPr="007F7B8B" w:rsidRDefault="001F0C1C">
            <w:pPr>
              <w:spacing w:line="300" w:lineRule="exact"/>
              <w:jc w:val="center"/>
              <w:rPr>
                <w:rFonts w:ascii="微软雅黑" w:eastAsia="微软雅黑" w:hAnsi="微软雅黑" w:cstheme="minorEastAsia"/>
                <w:szCs w:val="21"/>
              </w:rPr>
            </w:pPr>
            <w:r w:rsidRPr="007F7B8B">
              <w:rPr>
                <w:rFonts w:ascii="微软雅黑" w:eastAsia="微软雅黑" w:hAnsi="微软雅黑" w:cstheme="minorEastAsia" w:hint="eastAsia"/>
                <w:szCs w:val="21"/>
              </w:rPr>
              <w:lastRenderedPageBreak/>
              <w:t>48</w:t>
            </w:r>
          </w:p>
        </w:tc>
        <w:tc>
          <w:tcPr>
            <w:tcW w:w="1313" w:type="dxa"/>
            <w:vMerge/>
            <w:tcBorders>
              <w:tl2br w:val="nil"/>
              <w:tr2bl w:val="nil"/>
            </w:tcBorders>
            <w:vAlign w:val="center"/>
          </w:tcPr>
          <w:p w:rsidR="006B1C67" w:rsidRPr="007F7B8B" w:rsidRDefault="006B1C67">
            <w:pPr>
              <w:spacing w:line="300" w:lineRule="exact"/>
              <w:jc w:val="center"/>
              <w:rPr>
                <w:rFonts w:ascii="微软雅黑" w:eastAsia="微软雅黑" w:hAnsi="微软雅黑" w:cstheme="minorEastAsia"/>
                <w:szCs w:val="21"/>
              </w:rPr>
            </w:pPr>
          </w:p>
        </w:tc>
        <w:tc>
          <w:tcPr>
            <w:tcW w:w="877" w:type="dxa"/>
            <w:vMerge/>
            <w:tcBorders>
              <w:tl2br w:val="nil"/>
              <w:tr2bl w:val="nil"/>
            </w:tcBorders>
          </w:tcPr>
          <w:p w:rsidR="006B1C67" w:rsidRPr="007F7B8B" w:rsidRDefault="006B1C67">
            <w:pPr>
              <w:spacing w:line="300" w:lineRule="exact"/>
              <w:jc w:val="center"/>
              <w:rPr>
                <w:rFonts w:ascii="微软雅黑" w:eastAsia="微软雅黑" w:hAnsi="微软雅黑" w:cstheme="minorEastAsia"/>
                <w:szCs w:val="21"/>
              </w:rPr>
            </w:pPr>
          </w:p>
        </w:tc>
        <w:tc>
          <w:tcPr>
            <w:tcW w:w="3950" w:type="dxa"/>
            <w:tcBorders>
              <w:tl2br w:val="nil"/>
              <w:tr2bl w:val="nil"/>
            </w:tcBorders>
            <w:vAlign w:val="center"/>
          </w:tcPr>
          <w:p w:rsidR="006B1C67" w:rsidRPr="007F7B8B" w:rsidRDefault="001F0C1C">
            <w:pPr>
              <w:spacing w:line="300" w:lineRule="exact"/>
              <w:rPr>
                <w:rFonts w:ascii="微软雅黑" w:eastAsia="微软雅黑" w:hAnsi="微软雅黑" w:cstheme="minorEastAsia"/>
                <w:szCs w:val="21"/>
              </w:rPr>
            </w:pPr>
            <w:r w:rsidRPr="007F7B8B">
              <w:rPr>
                <w:rFonts w:ascii="微软雅黑" w:eastAsia="微软雅黑" w:hAnsi="微软雅黑" w:cstheme="minorEastAsia" w:hint="eastAsia"/>
                <w:szCs w:val="21"/>
              </w:rPr>
              <w:t>中外历史人物评说</w:t>
            </w:r>
          </w:p>
        </w:tc>
      </w:tr>
    </w:tbl>
    <w:p w:rsidR="006B1C67" w:rsidRPr="007F7B8B" w:rsidRDefault="001F0C1C" w:rsidP="00FC5984">
      <w:pPr>
        <w:spacing w:line="360" w:lineRule="auto"/>
        <w:ind w:firstLineChars="200" w:firstLine="420"/>
        <w:jc w:val="center"/>
        <w:rPr>
          <w:rFonts w:ascii="微软雅黑" w:eastAsia="微软雅黑" w:hAnsi="微软雅黑" w:cs="黑体"/>
          <w:szCs w:val="21"/>
        </w:rPr>
      </w:pPr>
      <w:r w:rsidRPr="007F7B8B">
        <w:rPr>
          <w:rFonts w:ascii="微软雅黑" w:eastAsia="微软雅黑" w:hAnsi="微软雅黑" w:cs="黑体" w:hint="eastAsia"/>
          <w:szCs w:val="21"/>
        </w:rPr>
        <w:lastRenderedPageBreak/>
        <w:t>表2：古代史、近代史、现代史考查比例</w:t>
      </w:r>
    </w:p>
    <w:p w:rsidR="006B1C67" w:rsidRPr="007F7B8B" w:rsidRDefault="001F0C1C">
      <w:pPr>
        <w:spacing w:line="360" w:lineRule="auto"/>
        <w:ind w:firstLineChars="200" w:firstLine="420"/>
        <w:rPr>
          <w:rFonts w:ascii="微软雅黑" w:eastAsia="微软雅黑" w:hAnsi="微软雅黑" w:cs="黑体"/>
          <w:szCs w:val="21"/>
        </w:rPr>
      </w:pPr>
      <w:r w:rsidRPr="007F7B8B">
        <w:rPr>
          <w:rFonts w:ascii="微软雅黑" w:eastAsia="微软雅黑" w:hAnsi="微软雅黑" w:cs="黑体" w:hint="eastAsia"/>
          <w:szCs w:val="21"/>
        </w:rPr>
        <w:t xml:space="preserve">      </w:t>
      </w:r>
      <w:r w:rsidRPr="007F7B8B">
        <w:rPr>
          <w:rFonts w:ascii="微软雅黑" w:eastAsia="微软雅黑" w:hAnsi="微软雅黑" w:cs="黑体" w:hint="eastAsia"/>
          <w:noProof/>
          <w:szCs w:val="21"/>
        </w:rPr>
        <w:drawing>
          <wp:inline distT="0" distB="0" distL="114300" distR="114300">
            <wp:extent cx="3660775" cy="2715895"/>
            <wp:effectExtent l="4445" t="4445" r="1143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1C67" w:rsidRPr="007F7B8B" w:rsidRDefault="001F0C1C" w:rsidP="00FC5984">
      <w:pPr>
        <w:spacing w:line="360" w:lineRule="auto"/>
        <w:ind w:firstLineChars="200" w:firstLine="420"/>
        <w:jc w:val="center"/>
        <w:rPr>
          <w:rFonts w:ascii="微软雅黑" w:eastAsia="微软雅黑" w:hAnsi="微软雅黑" w:cs="黑体"/>
          <w:szCs w:val="21"/>
        </w:rPr>
      </w:pPr>
      <w:r w:rsidRPr="007F7B8B">
        <w:rPr>
          <w:rFonts w:ascii="微软雅黑" w:eastAsia="微软雅黑" w:hAnsi="微软雅黑" w:cs="黑体" w:hint="eastAsia"/>
          <w:szCs w:val="21"/>
        </w:rPr>
        <w:t>表3：政治史、经济史、文化史考查比例</w:t>
      </w:r>
    </w:p>
    <w:p w:rsidR="006B1C67" w:rsidRPr="007F7B8B" w:rsidRDefault="001F0C1C">
      <w:pPr>
        <w:spacing w:line="360" w:lineRule="auto"/>
        <w:ind w:firstLineChars="200" w:firstLine="420"/>
        <w:rPr>
          <w:rFonts w:ascii="微软雅黑" w:eastAsia="微软雅黑" w:hAnsi="微软雅黑" w:cs="黑体"/>
          <w:szCs w:val="21"/>
        </w:rPr>
      </w:pPr>
      <w:r w:rsidRPr="007F7B8B">
        <w:rPr>
          <w:rFonts w:ascii="微软雅黑" w:eastAsia="微软雅黑" w:hAnsi="微软雅黑" w:cs="黑体" w:hint="eastAsia"/>
          <w:szCs w:val="21"/>
        </w:rPr>
        <w:t xml:space="preserve">      </w:t>
      </w:r>
      <w:r w:rsidRPr="007F7B8B">
        <w:rPr>
          <w:rFonts w:ascii="微软雅黑" w:eastAsia="微软雅黑" w:hAnsi="微软雅黑" w:cs="黑体" w:hint="eastAsia"/>
          <w:noProof/>
          <w:szCs w:val="21"/>
        </w:rPr>
        <w:drawing>
          <wp:inline distT="0" distB="0" distL="114300" distR="114300">
            <wp:extent cx="3642995" cy="2981325"/>
            <wp:effectExtent l="4445" t="4445" r="1016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1C67" w:rsidRPr="007F7B8B" w:rsidRDefault="001F0C1C">
      <w:pPr>
        <w:spacing w:line="440" w:lineRule="exact"/>
        <w:ind w:firstLineChars="200" w:firstLine="420"/>
        <w:rPr>
          <w:rFonts w:ascii="微软雅黑" w:eastAsia="微软雅黑" w:hAnsi="微软雅黑" w:cs="黑体"/>
          <w:b/>
          <w:bCs/>
          <w:szCs w:val="21"/>
        </w:rPr>
      </w:pPr>
      <w:r w:rsidRPr="007F7B8B">
        <w:rPr>
          <w:rFonts w:ascii="微软雅黑" w:eastAsia="微软雅黑" w:hAnsi="微软雅黑" w:cs="黑体" w:hint="eastAsia"/>
          <w:b/>
          <w:bCs/>
          <w:szCs w:val="21"/>
        </w:rPr>
        <w:t>一、选择题</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t>大部分选择题材料对解题有效的信息呈现较为明确，涉及知识点亦大多为主干知识，较少需要考生调动“冷门”知识进行解答，这与近三年全国卷选择题的命题趋势基本吻合。但只有少数题目需要运用较为深入的逻辑思维进行分析，这方面的难度则与全国卷近年的命题特点有一定的差距。</w:t>
      </w:r>
    </w:p>
    <w:p w:rsidR="006B1C67" w:rsidRPr="007F7B8B" w:rsidRDefault="001F0C1C">
      <w:pPr>
        <w:spacing w:line="440" w:lineRule="exact"/>
        <w:ind w:firstLineChars="200" w:firstLine="420"/>
        <w:rPr>
          <w:rFonts w:ascii="微软雅黑" w:eastAsia="微软雅黑" w:hAnsi="微软雅黑" w:cs="黑体"/>
          <w:b/>
          <w:bCs/>
          <w:szCs w:val="21"/>
        </w:rPr>
      </w:pPr>
      <w:r w:rsidRPr="007F7B8B">
        <w:rPr>
          <w:rFonts w:ascii="微软雅黑" w:eastAsia="微软雅黑" w:hAnsi="微软雅黑" w:cs="黑体" w:hint="eastAsia"/>
          <w:b/>
          <w:bCs/>
          <w:szCs w:val="21"/>
        </w:rPr>
        <w:t>二、问答题</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lastRenderedPageBreak/>
        <w:t>问答题的设问基本都比较明确，对考生审题能力的考查难度不大，和近年全国卷的命题特点吻合。</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t>第40题，以隋唐时期大运河、19世纪中后期中国大运河和苏伊士大运河为话题，贯穿古今，关联中外。实现基于一定主题的“横通”，包括同一时期政治、经济、思想等不同领域之间的相互联系，概括出一定时期的社会发展特征，充分体现“小切口，大内涵”的历史考查要求。40题（1）（2）小问均为“根据材料并结合所学知识”，不同于“根据材料”答题。从答题要求看，“根据材料并结合所学知识”的设问方式则对各位同学的历史学科知识要求更高，而近三年全国卷均为该种设问方式，故同学们仍不能放松对涉及所学知识问答题的训练。本次考试选修部分的问答题亦有类似情况，除第47题外，每题的第（1）小问均只要求“根据材料”。“根据材料”对各位同学的语言概括能力的要求更高，但对历史学科知识的要求稍低。第（2）小问均为“根据材料并结合所学知识”，其历史学科知识要求则更高。因此，各位考生依然要给予选修课本内容的足够重视，从整卷情况来看，全国卷的命题近年有逐渐回归课本的趋势。</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t>第41题，考查学生用史实论证历史偶然性与必然性的关系。前些年出了好多穿越剧，看编剧各种脑洞大开：主人公用现代智慧玩转古代，各种迎娶白富美走上人生巅峰；这些真的可能吗？当然有可能啦，时空中包含了太多的人和事，是由太多的因素组成；每个点线之间都能找到直接或间接的联系，所以牵一发而动全身！因为一颗钉子，查理三世马前失蹄，从此英格兰置于都铎王朝的统治之下；哥伦布发现新大陆，从此印第安人民的灾难降临，欧洲贸易重心转移。从查理三世到哥伦布再到那个不知名的日本士兵，无论地位高贵与否，他们的举动都在历史上产生了蝴蝶效应。由此可知，偶然性事件的背后蕴藏着客观必然性，历史必然性又是通过复杂的偶然性现象表现出来，而是偶然的因素对历史进程产生影响。</w:t>
      </w:r>
    </w:p>
    <w:p w:rsidR="006B1C67" w:rsidRPr="007F7B8B" w:rsidRDefault="001F0C1C">
      <w:pPr>
        <w:spacing w:line="440" w:lineRule="exact"/>
        <w:ind w:firstLineChars="200" w:firstLine="420"/>
        <w:rPr>
          <w:rFonts w:ascii="微软雅黑" w:eastAsia="微软雅黑" w:hAnsi="微软雅黑"/>
          <w:szCs w:val="21"/>
        </w:rPr>
      </w:pPr>
      <w:r w:rsidRPr="007F7B8B">
        <w:rPr>
          <w:rFonts w:ascii="微软雅黑" w:eastAsia="微软雅黑" w:hAnsi="微软雅黑" w:hint="eastAsia"/>
          <w:szCs w:val="21"/>
        </w:rPr>
        <w:t>本次考试在命题形式、难度与全国卷较为相符。考生分析自身不足后，可以根据自身情况选择相对较易在短期内提高的点进行“二模”前的突击，以检验自己的复习方法是否依然行之有效并作出调整。</w:t>
      </w:r>
    </w:p>
    <w:p w:rsidR="006B1C67" w:rsidRPr="007F7B8B" w:rsidRDefault="007F7B8B">
      <w:pPr>
        <w:spacing w:line="440" w:lineRule="exact"/>
        <w:ind w:firstLineChars="200" w:firstLine="420"/>
        <w:rPr>
          <w:rFonts w:ascii="微软雅黑" w:eastAsia="微软雅黑" w:hAnsi="微软雅黑"/>
          <w:szCs w:val="21"/>
        </w:rPr>
      </w:pPr>
      <w:r w:rsidRPr="007F7B8B">
        <w:rPr>
          <w:rFonts w:ascii="微软雅黑" w:eastAsia="微软雅黑" w:hAnsi="微软雅黑"/>
          <w:noProof/>
          <w:szCs w:val="21"/>
        </w:rPr>
        <mc:AlternateContent>
          <mc:Choice Requires="wps">
            <w:drawing>
              <wp:anchor distT="0" distB="0" distL="114300" distR="114300" simplePos="0" relativeHeight="251663360" behindDoc="0" locked="0" layoutInCell="1" allowOverlap="1" wp14:anchorId="73D259D5" wp14:editId="67CD3F3B">
                <wp:simplePos x="0" y="0"/>
                <wp:positionH relativeFrom="margin">
                  <wp:align>left</wp:align>
                </wp:positionH>
                <wp:positionV relativeFrom="paragraph">
                  <wp:posOffset>3174</wp:posOffset>
                </wp:positionV>
                <wp:extent cx="5314950" cy="1952625"/>
                <wp:effectExtent l="0" t="0" r="19050" b="28575"/>
                <wp:wrapNone/>
                <wp:docPr id="3" name="矩形 3"/>
                <wp:cNvGraphicFramePr/>
                <a:graphic xmlns:a="http://schemas.openxmlformats.org/drawingml/2006/main">
                  <a:graphicData uri="http://schemas.microsoft.com/office/word/2010/wordprocessingShape">
                    <wps:wsp>
                      <wps:cNvSpPr/>
                      <wps:spPr>
                        <a:xfrm>
                          <a:off x="0" y="0"/>
                          <a:ext cx="5314950" cy="1952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35D1" id="矩形 3" o:spid="_x0000_s1026" style="position:absolute;left:0;text-align:left;margin-left:0;margin-top:.25pt;width:418.5pt;height:15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" filled="f" strokecolor="#1f4d78 [1604]" strokeweight="1pt">
                <w10:wrap anchorx="margin"/>
              </v:rect>
            </w:pict>
          </mc:Fallback>
        </mc:AlternateContent>
      </w:r>
      <w:r w:rsidR="001F0C1C" w:rsidRPr="007F7B8B">
        <w:rPr>
          <w:rFonts w:ascii="微软雅黑" w:eastAsia="微软雅黑" w:hAnsi="微软雅黑" w:hint="eastAsia"/>
          <w:szCs w:val="21"/>
        </w:rPr>
        <w:t>结合一模的考试特点，在二轮复习备考中，卓越教育考试研究院·高考团队建议考生：</w:t>
      </w:r>
    </w:p>
    <w:p w:rsidR="006B1C67" w:rsidRPr="007F7B8B" w:rsidRDefault="00FC5984">
      <w:pPr>
        <w:spacing w:line="440" w:lineRule="exact"/>
        <w:ind w:firstLineChars="200" w:firstLine="420"/>
        <w:rPr>
          <w:rFonts w:ascii="微软雅黑" w:eastAsia="微软雅黑" w:hAnsi="微软雅黑"/>
          <w:szCs w:val="21"/>
        </w:rPr>
      </w:pPr>
      <w:r>
        <w:rPr>
          <w:rFonts w:ascii="微软雅黑" w:eastAsia="微软雅黑" w:hAnsi="微软雅黑"/>
          <w:b/>
          <w:bCs/>
          <w:szCs w:val="21"/>
        </w:rPr>
        <w:t>1</w:t>
      </w:r>
      <w:r>
        <w:rPr>
          <w:rFonts w:ascii="微软雅黑" w:eastAsia="微软雅黑" w:hAnsi="微软雅黑" w:hint="eastAsia"/>
          <w:b/>
          <w:bCs/>
          <w:szCs w:val="21"/>
        </w:rPr>
        <w:t>、</w:t>
      </w:r>
      <w:bookmarkStart w:id="0" w:name="_GoBack"/>
      <w:bookmarkEnd w:id="0"/>
      <w:r w:rsidR="001F0C1C" w:rsidRPr="007F7B8B">
        <w:rPr>
          <w:rFonts w:ascii="微软雅黑" w:eastAsia="微软雅黑" w:hAnsi="微软雅黑" w:hint="eastAsia"/>
          <w:b/>
          <w:bCs/>
          <w:szCs w:val="21"/>
        </w:rPr>
        <w:t>基础知识要牢记：</w:t>
      </w:r>
      <w:r w:rsidR="001F0C1C" w:rsidRPr="007F7B8B">
        <w:rPr>
          <w:rFonts w:ascii="微软雅黑" w:eastAsia="微软雅黑" w:hAnsi="微软雅黑" w:hint="eastAsia"/>
          <w:szCs w:val="21"/>
        </w:rPr>
        <w:t>考生从要注重对课本基础知识的消化和落实，切忌以题海战术代替对基础知识的识记和理解。</w:t>
      </w:r>
    </w:p>
    <w:p w:rsidR="006B1C67" w:rsidRPr="007F7B8B" w:rsidRDefault="00FC5984">
      <w:pPr>
        <w:spacing w:line="440" w:lineRule="exact"/>
        <w:ind w:firstLineChars="200" w:firstLine="420"/>
        <w:rPr>
          <w:rFonts w:ascii="微软雅黑" w:eastAsia="微软雅黑" w:hAnsi="微软雅黑"/>
          <w:szCs w:val="21"/>
        </w:rPr>
      </w:pPr>
      <w:r>
        <w:rPr>
          <w:rFonts w:ascii="微软雅黑" w:eastAsia="微软雅黑" w:hAnsi="微软雅黑"/>
          <w:b/>
          <w:bCs/>
          <w:szCs w:val="21"/>
        </w:rPr>
        <w:t>2</w:t>
      </w:r>
      <w:r w:rsidR="001F0C1C" w:rsidRPr="007F7B8B">
        <w:rPr>
          <w:rFonts w:ascii="微软雅黑" w:eastAsia="微软雅黑" w:hAnsi="微软雅黑" w:hint="eastAsia"/>
          <w:b/>
          <w:bCs/>
          <w:szCs w:val="21"/>
        </w:rPr>
        <w:t>、知识网络要清晰：</w:t>
      </w:r>
      <w:r w:rsidR="001F0C1C" w:rsidRPr="007F7B8B">
        <w:rPr>
          <w:rFonts w:ascii="微软雅黑" w:eastAsia="微软雅黑" w:hAnsi="微软雅黑" w:hint="eastAsia"/>
          <w:szCs w:val="21"/>
        </w:rPr>
        <w:t>掌握政治史、经济史、思想史三个模块之间的内在联系，是考生在二轮复习中必备的能力。</w:t>
      </w:r>
    </w:p>
    <w:p w:rsidR="006B1C67" w:rsidRPr="007F7B8B" w:rsidRDefault="00FC5984">
      <w:pPr>
        <w:spacing w:line="440" w:lineRule="exact"/>
        <w:ind w:firstLineChars="200" w:firstLine="420"/>
        <w:rPr>
          <w:rFonts w:ascii="微软雅黑" w:eastAsia="微软雅黑" w:hAnsi="微软雅黑"/>
          <w:szCs w:val="21"/>
        </w:rPr>
      </w:pPr>
      <w:r>
        <w:rPr>
          <w:rFonts w:ascii="微软雅黑" w:eastAsia="微软雅黑" w:hAnsi="微软雅黑"/>
          <w:b/>
          <w:bCs/>
          <w:szCs w:val="21"/>
        </w:rPr>
        <w:t>3</w:t>
      </w:r>
      <w:r>
        <w:rPr>
          <w:rFonts w:ascii="微软雅黑" w:eastAsia="微软雅黑" w:hAnsi="微软雅黑" w:hint="eastAsia"/>
          <w:b/>
          <w:bCs/>
          <w:szCs w:val="21"/>
        </w:rPr>
        <w:t>、</w:t>
      </w:r>
      <w:r w:rsidR="001F0C1C" w:rsidRPr="007F7B8B">
        <w:rPr>
          <w:rFonts w:ascii="微软雅黑" w:eastAsia="微软雅黑" w:hAnsi="微软雅黑" w:hint="eastAsia"/>
          <w:b/>
          <w:bCs/>
          <w:szCs w:val="21"/>
        </w:rPr>
        <w:t>解题技能要规范：</w:t>
      </w:r>
      <w:r w:rsidR="001F0C1C" w:rsidRPr="007F7B8B">
        <w:rPr>
          <w:rFonts w:ascii="微软雅黑" w:eastAsia="微软雅黑" w:hAnsi="微软雅黑" w:hint="eastAsia"/>
          <w:szCs w:val="21"/>
        </w:rPr>
        <w:t>训练要常规化，即采用“12+2”的模式，突出“五练”，即练速度、练准确、练感觉、练规范、练能力。</w:t>
      </w:r>
    </w:p>
    <w:p w:rsidR="007F7B8B" w:rsidRPr="007F7B8B" w:rsidRDefault="007F7B8B" w:rsidP="007F7B8B">
      <w:pPr>
        <w:rPr>
          <w:rFonts w:ascii="微软雅黑" w:eastAsia="微软雅黑" w:hAnsi="微软雅黑"/>
          <w:b/>
          <w:color w:val="0070C0"/>
        </w:rPr>
      </w:pPr>
      <w:r w:rsidRPr="007F7B8B">
        <w:rPr>
          <w:rFonts w:ascii="微软雅黑" w:eastAsia="微软雅黑" w:hAnsi="微软雅黑" w:hint="eastAsia"/>
          <w:b/>
          <w:color w:val="0070C0"/>
        </w:rPr>
        <w:lastRenderedPageBreak/>
        <w:t>关注卓越教育官方微信（</w:t>
      </w:r>
      <w:r w:rsidRPr="007F7B8B">
        <w:rPr>
          <w:rFonts w:ascii="微软雅黑" w:eastAsia="微软雅黑" w:hAnsi="微软雅黑"/>
          <w:b/>
          <w:color w:val="0070C0"/>
        </w:rPr>
        <w:t>zhuoyue1997)，回复关键字”高考一模“，卓越教育考试研究院·高考团队第一时间为你带来各科</w:t>
      </w:r>
      <w:r w:rsidRPr="007F7B8B">
        <w:rPr>
          <w:rFonts w:ascii="微软雅黑" w:eastAsia="微软雅黑" w:hAnsi="微软雅黑" w:hint="eastAsia"/>
          <w:b/>
          <w:color w:val="0070C0"/>
        </w:rPr>
        <w:t>独家</w:t>
      </w:r>
      <w:r w:rsidRPr="007F7B8B">
        <w:rPr>
          <w:rFonts w:ascii="微软雅黑" w:eastAsia="微软雅黑" w:hAnsi="微软雅黑"/>
          <w:b/>
          <w:color w:val="0070C0"/>
        </w:rPr>
        <w:t>点评</w:t>
      </w:r>
      <w:r w:rsidRPr="007F7B8B">
        <w:rPr>
          <w:rFonts w:ascii="微软雅黑" w:eastAsia="微软雅黑" w:hAnsi="微软雅黑" w:hint="eastAsia"/>
          <w:b/>
          <w:color w:val="0070C0"/>
        </w:rPr>
        <w:t>、</w:t>
      </w:r>
      <w:r w:rsidRPr="007F7B8B">
        <w:rPr>
          <w:rFonts w:ascii="微软雅黑" w:eastAsia="微软雅黑" w:hAnsi="微软雅黑"/>
          <w:b/>
          <w:color w:val="0070C0"/>
        </w:rPr>
        <w:t>试题&amp;答案。</w:t>
      </w:r>
    </w:p>
    <w:p w:rsidR="007F7B8B" w:rsidRPr="007F7B8B" w:rsidRDefault="007F7B8B" w:rsidP="007F7B8B">
      <w:pPr>
        <w:rPr>
          <w:rFonts w:ascii="微软雅黑" w:eastAsia="微软雅黑" w:hAnsi="微软雅黑"/>
          <w:b/>
          <w:color w:val="0070C0"/>
        </w:rPr>
      </w:pPr>
      <w:r w:rsidRPr="007F7B8B">
        <w:rPr>
          <w:rFonts w:ascii="微软雅黑" w:eastAsia="微软雅黑" w:hAnsi="微软雅黑"/>
          <w:noProof/>
        </w:rPr>
        <w:drawing>
          <wp:inline distT="0" distB="0" distL="0" distR="0" wp14:anchorId="07CEDB82" wp14:editId="25C7CF16">
            <wp:extent cx="5274310" cy="293878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38780"/>
                    </a:xfrm>
                    <a:prstGeom prst="rect">
                      <a:avLst/>
                    </a:prstGeom>
                  </pic:spPr>
                </pic:pic>
              </a:graphicData>
            </a:graphic>
          </wp:inline>
        </w:drawing>
      </w:r>
    </w:p>
    <w:p w:rsidR="007F7B8B" w:rsidRPr="007F7B8B" w:rsidRDefault="007F7B8B" w:rsidP="007F7B8B">
      <w:pPr>
        <w:ind w:firstLineChars="200" w:firstLine="420"/>
        <w:rPr>
          <w:rFonts w:ascii="微软雅黑" w:eastAsia="微软雅黑" w:hAnsi="微软雅黑"/>
          <w:szCs w:val="21"/>
        </w:rPr>
      </w:pPr>
      <w:r w:rsidRPr="007F7B8B">
        <w:rPr>
          <w:rFonts w:ascii="微软雅黑" w:eastAsia="微软雅黑" w:hAnsi="微软雅黑" w:hint="eastAsia"/>
          <w:b/>
          <w:color w:val="0070C0"/>
        </w:rPr>
        <w:t>点击</w:t>
      </w:r>
      <w:r w:rsidRPr="007F7B8B">
        <w:rPr>
          <w:rFonts w:ascii="微软雅黑" w:eastAsia="微软雅黑" w:hAnsi="微软雅黑"/>
          <w:b/>
          <w:color w:val="0070C0"/>
        </w:rPr>
        <w:t>阅读原文↓↓↓</w:t>
      </w:r>
      <w:r w:rsidRPr="007F7B8B">
        <w:rPr>
          <w:rFonts w:ascii="微软雅黑" w:eastAsia="微软雅黑" w:hAnsi="微软雅黑" w:hint="eastAsia"/>
          <w:b/>
          <w:color w:val="0070C0"/>
        </w:rPr>
        <w:t>抢先领票</w:t>
      </w:r>
      <w:r w:rsidRPr="007F7B8B">
        <w:rPr>
          <w:rFonts w:ascii="微软雅黑" w:eastAsia="微软雅黑" w:hAnsi="微软雅黑"/>
          <w:b/>
          <w:color w:val="0070C0"/>
        </w:rPr>
        <w:t>！</w:t>
      </w:r>
    </w:p>
    <w:p w:rsidR="006B1C67" w:rsidRPr="007F7B8B" w:rsidRDefault="006B1C67">
      <w:pPr>
        <w:spacing w:line="440" w:lineRule="exact"/>
        <w:ind w:firstLineChars="200" w:firstLine="420"/>
        <w:rPr>
          <w:rFonts w:ascii="微软雅黑" w:eastAsia="微软雅黑" w:hAnsi="微软雅黑"/>
          <w:szCs w:val="21"/>
        </w:rPr>
      </w:pPr>
    </w:p>
    <w:p w:rsidR="006B1C67" w:rsidRPr="007F7B8B" w:rsidRDefault="001F0C1C">
      <w:pPr>
        <w:spacing w:line="440" w:lineRule="exact"/>
        <w:ind w:firstLineChars="200" w:firstLine="420"/>
        <w:jc w:val="right"/>
        <w:rPr>
          <w:rFonts w:ascii="微软雅黑" w:eastAsia="微软雅黑" w:hAnsi="微软雅黑"/>
          <w:szCs w:val="21"/>
        </w:rPr>
      </w:pPr>
      <w:r w:rsidRPr="007F7B8B">
        <w:rPr>
          <w:rFonts w:ascii="微软雅黑" w:eastAsia="微软雅黑" w:hAnsi="微软雅黑" w:hint="eastAsia"/>
          <w:szCs w:val="21"/>
        </w:rPr>
        <w:t></w:t>
      </w:r>
    </w:p>
    <w:sectPr w:rsidR="006B1C67" w:rsidRPr="007F7B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AB" w:rsidRDefault="00C53FAB" w:rsidP="00A63DF2">
      <w:r>
        <w:separator/>
      </w:r>
    </w:p>
  </w:endnote>
  <w:endnote w:type="continuationSeparator" w:id="0">
    <w:p w:rsidR="00C53FAB" w:rsidRDefault="00C53FAB" w:rsidP="00A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AB" w:rsidRDefault="00C53FAB" w:rsidP="00A63DF2">
      <w:r>
        <w:separator/>
      </w:r>
    </w:p>
  </w:footnote>
  <w:footnote w:type="continuationSeparator" w:id="0">
    <w:p w:rsidR="00C53FAB" w:rsidRDefault="00C53FAB" w:rsidP="00A6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A81AFA"/>
    <w:rsid w:val="001F0C1C"/>
    <w:rsid w:val="00524450"/>
    <w:rsid w:val="005732B7"/>
    <w:rsid w:val="006B1C67"/>
    <w:rsid w:val="007F7B8B"/>
    <w:rsid w:val="008C4E62"/>
    <w:rsid w:val="00A63DF2"/>
    <w:rsid w:val="00C53FAB"/>
    <w:rsid w:val="00F131C1"/>
    <w:rsid w:val="00FC5984"/>
    <w:rsid w:val="06803F91"/>
    <w:rsid w:val="07647339"/>
    <w:rsid w:val="0AFD246B"/>
    <w:rsid w:val="0DDA77A8"/>
    <w:rsid w:val="104C3338"/>
    <w:rsid w:val="10A72BFD"/>
    <w:rsid w:val="10AB2C65"/>
    <w:rsid w:val="1318281A"/>
    <w:rsid w:val="16D86128"/>
    <w:rsid w:val="17AA350E"/>
    <w:rsid w:val="1A5B737F"/>
    <w:rsid w:val="1DC313C2"/>
    <w:rsid w:val="1EF839BD"/>
    <w:rsid w:val="1F8E52D3"/>
    <w:rsid w:val="1FD23801"/>
    <w:rsid w:val="237E20DD"/>
    <w:rsid w:val="25003B5B"/>
    <w:rsid w:val="25C00E5D"/>
    <w:rsid w:val="265C1BC4"/>
    <w:rsid w:val="27E70ACF"/>
    <w:rsid w:val="28586E61"/>
    <w:rsid w:val="2D1F5BF8"/>
    <w:rsid w:val="2F6E5F01"/>
    <w:rsid w:val="30B23970"/>
    <w:rsid w:val="38877773"/>
    <w:rsid w:val="404E0288"/>
    <w:rsid w:val="41D63506"/>
    <w:rsid w:val="41F2307E"/>
    <w:rsid w:val="428960B3"/>
    <w:rsid w:val="464A7DBD"/>
    <w:rsid w:val="467C202F"/>
    <w:rsid w:val="469D63F8"/>
    <w:rsid w:val="47053C7B"/>
    <w:rsid w:val="4754731E"/>
    <w:rsid w:val="4782333D"/>
    <w:rsid w:val="47B91392"/>
    <w:rsid w:val="4EF6662E"/>
    <w:rsid w:val="500B1F87"/>
    <w:rsid w:val="508D1A89"/>
    <w:rsid w:val="51307A4A"/>
    <w:rsid w:val="51D45A3E"/>
    <w:rsid w:val="523A372E"/>
    <w:rsid w:val="52755603"/>
    <w:rsid w:val="52B70A05"/>
    <w:rsid w:val="52BC3C28"/>
    <w:rsid w:val="53A81AFA"/>
    <w:rsid w:val="54B21227"/>
    <w:rsid w:val="5A297BBC"/>
    <w:rsid w:val="5A9B3AD4"/>
    <w:rsid w:val="5C125BE4"/>
    <w:rsid w:val="5CB300DA"/>
    <w:rsid w:val="5CF06C93"/>
    <w:rsid w:val="5DD76224"/>
    <w:rsid w:val="62034D1A"/>
    <w:rsid w:val="65783132"/>
    <w:rsid w:val="65FC2706"/>
    <w:rsid w:val="66873162"/>
    <w:rsid w:val="6D0124C1"/>
    <w:rsid w:val="6D19485C"/>
    <w:rsid w:val="6E0E3EAF"/>
    <w:rsid w:val="70297D9D"/>
    <w:rsid w:val="736922F4"/>
    <w:rsid w:val="76324F14"/>
    <w:rsid w:val="78FB2068"/>
    <w:rsid w:val="7B053CAB"/>
    <w:rsid w:val="7C0F5291"/>
    <w:rsid w:val="7C774C27"/>
    <w:rsid w:val="7CAE15F3"/>
    <w:rsid w:val="7CFA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00611"/>
  <w15:docId w15:val="{79A018FF-BCF1-4D9C-8651-0F7B0D63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63DF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63DF2"/>
    <w:rPr>
      <w:kern w:val="2"/>
      <w:sz w:val="18"/>
      <w:szCs w:val="18"/>
    </w:rPr>
  </w:style>
  <w:style w:type="paragraph" w:styleId="a7">
    <w:name w:val="footer"/>
    <w:basedOn w:val="a"/>
    <w:link w:val="a8"/>
    <w:rsid w:val="00A63DF2"/>
    <w:pPr>
      <w:tabs>
        <w:tab w:val="center" w:pos="4153"/>
        <w:tab w:val="right" w:pos="8306"/>
      </w:tabs>
      <w:snapToGrid w:val="0"/>
      <w:jc w:val="left"/>
    </w:pPr>
    <w:rPr>
      <w:sz w:val="18"/>
      <w:szCs w:val="18"/>
    </w:rPr>
  </w:style>
  <w:style w:type="character" w:customStyle="1" w:styleId="a8">
    <w:name w:val="页脚 字符"/>
    <w:basedOn w:val="a0"/>
    <w:link w:val="a7"/>
    <w:rsid w:val="00A63D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比例</c:v>
                </c:pt>
              </c:strCache>
            </c:strRef>
          </c:tx>
          <c:spPr>
            <a:effectLst/>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39-4182-82BD-5E3F429C13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39-4182-82BD-5E3F429C13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39-4182-82BD-5E3F429C1350}"/>
              </c:ext>
            </c:extLst>
          </c:dPt>
          <c:dLbls>
            <c:dLbl>
              <c:idx val="0"/>
              <c:layout>
                <c:manualLayout>
                  <c:x val="-8.1521739130434798E-2"/>
                  <c:y val="3.5476241668458398E-2"/>
                </c:manualLayout>
              </c:layout>
              <c:spPr/>
              <c:txPr>
                <a:bodyPr rot="0" spcFirstLastPara="0" vertOverflow="ellipsis" horzOverflow="overflow" vert="horz" wrap="square" anchor="ctr" anchorCtr="1"/>
                <a:lstStyle/>
                <a:p>
                  <a:pPr>
                    <a:defRPr sz="1200" b="1" kern="1200">
                      <a:solidFill>
                        <a:sysClr val="windowText" lastClr="000000"/>
                      </a:solidFill>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439-4182-82BD-5E3F429C1350}"/>
                </c:ext>
              </c:extLst>
            </c:dLbl>
            <c:dLbl>
              <c:idx val="1"/>
              <c:layout>
                <c:manualLayout>
                  <c:x val="5.1242236024844699E-2"/>
                  <c:y val="-0.13867985379488301"/>
                </c:manualLayout>
              </c:layout>
              <c:spPr/>
              <c:txPr>
                <a:bodyPr rot="0" spcFirstLastPara="0" vertOverflow="ellipsis" horzOverflow="overflow" vert="horz" wrap="square" anchor="ctr" anchorCtr="1"/>
                <a:lstStyle/>
                <a:p>
                  <a:pPr>
                    <a:defRPr sz="1200" b="1" kern="1200">
                      <a:solidFill>
                        <a:sysClr val="windowText" lastClr="000000"/>
                      </a:solidFill>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439-4182-82BD-5E3F429C1350}"/>
                </c:ext>
              </c:extLst>
            </c:dLbl>
            <c:dLbl>
              <c:idx val="2"/>
              <c:layout>
                <c:manualLayout>
                  <c:x val="1.1645962732919299E-2"/>
                  <c:y val="4.83766931842615E-2"/>
                </c:manualLayout>
              </c:layout>
              <c:spPr/>
              <c:txPr>
                <a:bodyPr rot="0" spcFirstLastPara="0" vertOverflow="ellipsis" horzOverflow="overflow" vert="horz" wrap="square" anchor="ctr" anchorCtr="1"/>
                <a:lstStyle/>
                <a:p>
                  <a:pPr>
                    <a:defRPr sz="1200" b="1" kern="1200">
                      <a:solidFill>
                        <a:sysClr val="windowText" lastClr="000000"/>
                      </a:solidFill>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439-4182-82BD-5E3F429C1350}"/>
                </c:ext>
              </c:extLst>
            </c:dLbl>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古代史</c:v>
                </c:pt>
                <c:pt idx="1">
                  <c:v>近代史</c:v>
                </c:pt>
                <c:pt idx="2">
                  <c:v>现代史</c:v>
                </c:pt>
              </c:strCache>
            </c:strRef>
          </c:cat>
          <c:val>
            <c:numRef>
              <c:f>Sheet1!$B$2:$B$4</c:f>
              <c:numCache>
                <c:formatCode>0%</c:formatCode>
                <c:ptCount val="3"/>
                <c:pt idx="0">
                  <c:v>0.4</c:v>
                </c:pt>
                <c:pt idx="1">
                  <c:v>0.49</c:v>
                </c:pt>
                <c:pt idx="2">
                  <c:v>0.11</c:v>
                </c:pt>
              </c:numCache>
            </c:numRef>
          </c:val>
          <c:extLst>
            <c:ext xmlns:c16="http://schemas.microsoft.com/office/drawing/2014/chart" uri="{C3380CC4-5D6E-409C-BE32-E72D297353CC}">
              <c16:uniqueId val="{00000006-A439-4182-82BD-5E3F429C135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比例</c:v>
                </c:pt>
              </c:strCache>
            </c:strRef>
          </c:tx>
          <c:spPr>
            <a:effectLst/>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AA-4860-BA1D-B8C56CBD7F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AA-4860-BA1D-B8C56CBD7F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AA-4860-BA1D-B8C56CBD7F49}"/>
              </c:ext>
            </c:extLst>
          </c:dPt>
          <c:dLbls>
            <c:dLbl>
              <c:idx val="0"/>
              <c:layout>
                <c:manualLayout>
                  <c:x val="-7.3564309444708098E-2"/>
                  <c:y val="1.52439024390244E-2"/>
                </c:manualLayout>
              </c:layout>
              <c:tx>
                <c:rich>
                  <a:bodyPr vertOverflow="ellipsis" anchor="ctr" anchorCtr="1"/>
                  <a:lstStyle/>
                  <a:p>
                    <a:pPr algn="ctr" defTabSz="914400">
                      <a:defRPr sz="1200" b="1" kern="1200">
                        <a:solidFill>
                          <a:sysClr val="windowText" lastClr="000000"/>
                        </a:solidFill>
                        <a:latin typeface="+mn-lt"/>
                        <a:ea typeface="+mn-ea"/>
                        <a:cs typeface="+mn-cs"/>
                      </a:defRPr>
                    </a:pPr>
                    <a:r>
                      <a:rPr lang="zh-CN" altLang="en-US" sz="1200" b="1">
                        <a:solidFill>
                          <a:sysClr val="windowText" lastClr="000000"/>
                        </a:solidFill>
                      </a:rPr>
                      <a:t>政治史</a:t>
                    </a:r>
                    <a:r>
                      <a:rPr lang="en-US" altLang="zh-CN" sz="1200" b="1">
                        <a:solidFill>
                          <a:sysClr val="windowText" lastClr="000000"/>
                        </a:solidFill>
                      </a:rPr>
                      <a:t>40%</a:t>
                    </a:r>
                  </a:p>
                </c:rich>
              </c:tx>
              <c:spPr/>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AA-4860-BA1D-B8C56CBD7F49}"/>
                </c:ext>
              </c:extLst>
            </c:dLbl>
            <c:dLbl>
              <c:idx val="1"/>
              <c:layout>
                <c:manualLayout>
                  <c:x val="5.2206929283341197E-2"/>
                  <c:y val="-0.103658536585366"/>
                </c:manualLayout>
              </c:layout>
              <c:tx>
                <c:rich>
                  <a:bodyPr vertOverflow="ellipsis" anchor="ctr" anchorCtr="1"/>
                  <a:lstStyle/>
                  <a:p>
                    <a:pPr algn="ctr" defTabSz="914400">
                      <a:defRPr sz="1200" b="1" kern="1200">
                        <a:solidFill>
                          <a:sysClr val="windowText" lastClr="000000"/>
                        </a:solidFill>
                        <a:latin typeface="+mn-lt"/>
                        <a:ea typeface="+mn-ea"/>
                        <a:cs typeface="+mn-cs"/>
                      </a:defRPr>
                    </a:pPr>
                    <a:r>
                      <a:rPr lang="zh-CN" altLang="en-US" sz="1200" b="1">
                        <a:solidFill>
                          <a:sysClr val="windowText" lastClr="000000"/>
                        </a:solidFill>
                      </a:rPr>
                      <a:t>经济史</a:t>
                    </a:r>
                    <a:r>
                      <a:rPr lang="en-US" altLang="zh-CN" sz="1200" b="1">
                        <a:solidFill>
                          <a:sysClr val="windowText" lastClr="000000"/>
                        </a:solidFill>
                      </a:rPr>
                      <a:t>40%</a:t>
                    </a:r>
                  </a:p>
                </c:rich>
              </c:tx>
              <c:spPr/>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AA-4860-BA1D-B8C56CBD7F49}"/>
                </c:ext>
              </c:extLst>
            </c:dLbl>
            <c:dLbl>
              <c:idx val="2"/>
              <c:layout>
                <c:manualLayout>
                  <c:x val="5.4579971523493101E-2"/>
                  <c:y val="5.1829268292682897E-2"/>
                </c:manualLayout>
              </c:layout>
              <c:tx>
                <c:rich>
                  <a:bodyPr vertOverflow="ellipsis" anchor="ctr" anchorCtr="1"/>
                  <a:lstStyle/>
                  <a:p>
                    <a:pPr algn="ctr" defTabSz="914400">
                      <a:defRPr sz="1200" b="1" kern="1200">
                        <a:solidFill>
                          <a:sysClr val="windowText" lastClr="000000"/>
                        </a:solidFill>
                        <a:latin typeface="+mn-lt"/>
                        <a:ea typeface="+mn-ea"/>
                        <a:cs typeface="+mn-cs"/>
                      </a:defRPr>
                    </a:pPr>
                    <a:r>
                      <a:rPr lang="zh-CN" altLang="en-US" sz="1200" b="1">
                        <a:solidFill>
                          <a:sysClr val="windowText" lastClr="000000"/>
                        </a:solidFill>
                      </a:rPr>
                      <a:t>思想史</a:t>
                    </a:r>
                    <a:r>
                      <a:rPr lang="en-US" altLang="zh-CN" sz="1200" b="1">
                        <a:solidFill>
                          <a:sysClr val="windowText" lastClr="000000"/>
                        </a:solidFill>
                      </a:rPr>
                      <a:t>20%</a:t>
                    </a:r>
                  </a:p>
                </c:rich>
              </c:tx>
              <c:spPr/>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AA-4860-BA1D-B8C56CBD7F49}"/>
                </c:ext>
              </c:extLst>
            </c:dLbl>
            <c:spPr>
              <a:noFill/>
              <a:ln>
                <a:noFill/>
              </a:ln>
              <a:effectLst/>
            </c:spPr>
            <c:txPr>
              <a:bodyPr rot="0" spcFirstLastPara="0" vertOverflow="ellipsis" horzOverflow="overflow" vert="horz" wrap="square" anchor="ctr" anchorCtr="1"/>
              <a:lstStyle/>
              <a:p>
                <a:pPr>
                  <a:defRPr sz="1200" b="1" kern="1200">
                    <a:solidFill>
                      <a:sysClr val="windowText" lastClr="000000"/>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政治史</c:v>
                </c:pt>
                <c:pt idx="1">
                  <c:v>经济史</c:v>
                </c:pt>
                <c:pt idx="2">
                  <c:v>思想史</c:v>
                </c:pt>
              </c:strCache>
            </c:strRef>
          </c:cat>
          <c:val>
            <c:numRef>
              <c:f>Sheet1!$B$2:$B$4</c:f>
              <c:numCache>
                <c:formatCode>0%</c:formatCode>
                <c:ptCount val="3"/>
                <c:pt idx="0">
                  <c:v>0.4</c:v>
                </c:pt>
                <c:pt idx="1">
                  <c:v>0.4</c:v>
                </c:pt>
                <c:pt idx="2">
                  <c:v>0.2</c:v>
                </c:pt>
              </c:numCache>
            </c:numRef>
          </c:val>
          <c:extLst>
            <c:ext xmlns:c16="http://schemas.microsoft.com/office/drawing/2014/chart" uri="{C3380CC4-5D6E-409C-BE32-E72D297353CC}">
              <c16:uniqueId val="{00000006-FDAA-4860-BA1D-B8C56CBD7F4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306</Words>
  <Characters>1748</Characters>
  <Application>Microsoft Office Word</Application>
  <DocSecurity>0</DocSecurity>
  <Lines>14</Lines>
  <Paragraphs>4</Paragraphs>
  <ScaleCrop>false</ScaleCrop>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2016-03-17T10:46:00Z</dcterms:created>
  <dcterms:modified xsi:type="dcterms:W3CDTF">2016-03-17T11:01:00Z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